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449</w:t>
      </w:r>
    </w:p>
    <w:p>
      <w:r>
        <w:t>Bundesgericht (BGE), 2001-07-17, DE</w:t>
      </w:r>
    </w:p>
    <w:p>
      <w:r>
        <w:rPr>
          <w:b/>
        </w:rPr>
        <w:t xml:space="preserve">Quelle: </w:t>
      </w:r>
      <w:r>
        <w:t>https://mcp.opencaselaw.ch/entscheid/bge_127 III 449</w:t>
      </w:r>
    </w:p>
    <w:p>
      <w:r>
        <w:t>FR: ATF 127 III 449</w:t>
      </w:r>
    </w:p>
    <w:p>
      <w:r>
        <w:t>IT: DTF 127 III 449</w:t>
      </w:r>
    </w:p>
    <w:p>
      <w:pPr>
        <w:pStyle w:val="Heading2"/>
      </w:pPr>
      <w:r>
        <w:t>Regeste</w:t>
      </w:r>
    </w:p>
    <w:p>
      <w:r>
        <w:t>Regeste Agenturvertrag (Art. 418a ff. OR). Die Vereinbarung einer Netto-Provisionsregelung mit einem von den zuständigen Behörden als unselbständig Erwerbender eingestuften Agenten verstösst nicht gegen die zwingenden Bestimmungen über die paritätische Beitragspflicht, sofern die dabei erfolgte nominelle Abwälzung der Sozialversicherungsbeiträge von Arbeitnehmer und Arbeitgeber auf den Agenten nicht auf missbräuchlichen oder auf Gesetzesumgehung gerichteten Absichten beruht (E. 3a-f).</w:t>
      </w:r>
    </w:p>
    <w:p>
      <w:pPr>
        <w:pStyle w:val="Heading2"/>
      </w:pPr>
      <w:r>
        <w:t>Erwägungen</w:t>
      </w:r>
    </w:p>
    <w:p>
      <w:r>
        <w:rPr>
          <w:b/>
        </w:rPr>
        <w:t>E. 3</w:t>
      </w:r>
    </w:p>
    <w:p>
      <w:r>
        <w:t>a) Obwohl die Ausführungen in BGE 107 II 430 E. 4 einen Arbeitsvertrag nach Art. 319 ff. OR betreffen, sind die darin genannten Voraussetzungen einer Ausnahme von der zwingenden paritätischen Beitragszahlungspflicht zumindest analog auf das vorliegende Vertragsverhältnis anwendbar. b) Entgegen der Ansicht des Obergerichts ergibt die Auslegung der alternativen Provisionsvereinbarung nach Treu und Glauben, dass die Parteien offensichtlich eine als angemessen befundene Netto-Einkommensregelung trafen. Dem angefochtenen Urteil lässt sich jedenfalls nicht entnehmen, dass der Kläger mit dieser Regelung nicht einverstanden gewesen wäre. Davon ausgehend durfte er die in Folge der sozialversicherungsrechtlichen Einstufung als unselbständig Erwerbender schliesslich getroffene Provisionsregelung nach dem Vertrauensprinzip nicht anders verstehen, als dass der effektive Brutto-Provisionssatz zu seinen Gunsten auf der Grundlage des Nettoeinkommens 8,9% oder 4,45%, bzw. ab September 1995 8,7% oder 4,35% betrug. Ausgehend von den vereinbarten Netto-Provisionssätzen gemäss Ziff. 7.2 des Agenturvertrags musste der Kläger seine hälftigen "Arbeitnehmer"-Sozialabzüge hinzufügen, um die Brutto-Provision zu erhalten (gerundet und aufgrund der Beitragssätze seit 1995): 7,4% netto zuzüglich 1,3% (die Hälfte von 25,65% durch 10) ergibt 8,7% brutto. Darauf mussten die "Arbeitgeber"-Sozialabzüge gemäss Ziff. 7.2 des Agenturvertrags hinzugezählt werden, was den Provisionssatz von 10% gemäss Ziff. 7.1 des Agenturvertrags und die Abrechnungsbasis für die getätigten Sozialabzüge an die Einrichtungen der Sozialversicherer ergibt. Zu prüfen ist somit lediglich, ob diese Netto-Provisionsregelung gemäss Ziff. 7.2 des Agenturvertrags rechtsgültig ist. c) Nach dem Grundsatz der Privatautonomie steht es den Parteien frei, den Inhalt ihres Vertrages im Rahmen der Rechtsordnung frei zu bestimmen. Dies gilt unter Vorbehalt von staatlichen oder kollektivvertraglichen Mindestlohnvorschriften namentlich auch für die Höhe der Entlöhnung von Arbeitnehmern, erst recht aber für sämtliche übrigen Dienstleistungserbringer. Das Obligationenrecht enthält jedenfalls keine Bestimmungen, die zwingend die Vereinbarung einer Bruttoentschädigung vorsehen. d) Die vorliegende Netto-Provisionsregelung ist auch sozialversicherungsrechtlich nicht zu beanstanden, da sich missbräuchliche oder auf Gesetzesumgehung gerichtete Absichten der Beklagten BGE 127 III 449 S. 452 weder den Feststellungen im angefochtenen Urteil entnehmen lassen noch erkennbar sind. Gesetzesumgehung oder Missbrauchsabsicht könnte allenfalls dann angenommen werden, wenn der Kläger mit der getroffenen im Vergleich zur ursprünglichen Regelung für den Fall der Qualifikation als selbständig Erwerbender gemäss Ziff. 7.1 des Agenturvertrags klar benachteiligt worden wäre. Davon kann jedoch nicht die Rede sein. Bei richtiger gesamtheitlicher Betrachtung hätte der Kläger im einen wie im anderen Fall der ungewissen sozialversicherungsrechtlichen Einordnung als selbständig oder unselbständig Erwerbender im Ergebnis das zumindest gleichwertige Einkommen nach Abzug der Sozialabgaben und der Beiträge für die eigene soziale Sicherheit erwirtschaftet, was aus folgender Berechnung ersichtlich wird: Ausgehend von der Brutto-Provision gemäss Ziff. 7.1 des Agenturvertrags hätte das Nettoeinkommen des Klägers als sozialversicherungsrechtlich selbständig Erwerbender sich aus folgenden Abzügen berechnet: Von der 10%-Brutto-Provision ist der obligatorische Satz für die Sozialabzüge selbständig Erwerbender für AHV/IV/EO/ALV von insgesamt 9,5% (für Einkommen über Fr. 48'300.- pro Jahr), folglich 0,95%, in Abzug zu bringen. Das ergibt eine Nettoprovision von 9,05%. Um im Ergebnis in wirtschaftlicher Hinsicht der Provisionsvariante als unselbständig Erwerbender gleichgestellt zu sein, müssen hiervon weitere Prozente abgezogen werden, die der Kläger hätte aufbringen müssen, um eine im Vergleich zur Regelung in Ziff. 7.2 des Agenturvertrags äquivalente soziale Absicherung zu geniessen, so für eine Unfallversicherung, die private Vorsorge gegen Alter, Invalidität und Tod sowie eine Krankentaggeldversicherung für den Erwerbsausfall. Dabei ist davon auszugehen, dass der Kläger - insbesondere für Beiträge der privaten Vorsorge - in jedem Fall mehr Mittel hätte aufbringen müssen als im Fall der getroffenen Provisionsvariante gemäss Ziff. 7.2 des Agenturvertrags. Aus diesem Grund fällt auch nicht ins Gewicht, dass der Beitragssatz für AHV/IV/EO/ALV bei selbständig Erwerbenden um 3,1% (im vorliegenden Fall folglich 0,31%) tiefer liegt als derjenige von Arbeitnehmer und Arbeitgeber insgesamt im Fall der unselbständigen Erwerbstätigkeit. e) Der Beklagten kann hierbei einzig vorgeworfen werden, sie habe die Entlöhnung für die unselbständige Erwerbstätigkeit gegenüber dem Kläger nicht mit der gebotenen Deutlichkeit als Brutto-Provision von tatsächlich 8,9% oder 4,45% (bzw. 8,7% oder 4,35%) ausgewiesen. Das ändert aber nichts daran, dass der Kläger im BGE 127 III 449 S. 453 Ergebnis das erhielt, was ihm nach Treu und Glauben aus dem Agenturvertrag zustand. Die vom Obergericht beanstandete nominelle Abwälzung der Beiträge auf den Kläger stellt im Gegenteil bloss einen Berechnungsfaktor im Rahmen der angewendeten Methode zur Ermittlung des dem Kläger zustehenden Einkommens dar. f) Die von den Parteien auf der Basis des Nettoeinkommens vereinbarte und schliesslich getroffene Provisionsregelung ist daher bundesrechtlich nicht zu beanstanden, da sie jedenfalls die in BGE 107 II 430 E. 4 aufgestellten Ausnahmekriterien erfüllt. Soweit das Obergericht die von den Parteien getroffene Netto-Provisionsvereinbarung unberücksichtigt liess und statt dessen auf der Basis einer Brutto-Einkommensvereinbarung von einer im Sinne von Art. 20 OR wegen Verstosses gegen den Grundsatz der paritätischen Beitragszahlungspflicht nichtigen Lohnabrede ausging, hat es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